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3A2D9" w14:textId="77777777" w:rsidR="00A864E1" w:rsidRDefault="00A864E1" w:rsidP="00A864E1">
      <w:pPr>
        <w:widowControl w:val="0"/>
        <w:autoSpaceDE w:val="0"/>
        <w:autoSpaceDN w:val="0"/>
        <w:adjustRightInd w:val="0"/>
        <w:outlineLvl w:val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                                                   </w:t>
      </w:r>
    </w:p>
    <w:p w14:paraId="036465D2" w14:textId="09FBAC74" w:rsidR="00A864E1" w:rsidRDefault="00A864E1" w:rsidP="00880B2A">
      <w:pPr>
        <w:widowControl w:val="0"/>
        <w:autoSpaceDE w:val="0"/>
        <w:autoSpaceDN w:val="0"/>
        <w:adjustRightInd w:val="0"/>
        <w:outlineLvl w:val="0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                                                                  </w:t>
      </w:r>
    </w:p>
    <w:p w14:paraId="3DA2E3BC" w14:textId="77777777" w:rsidR="00A864E1" w:rsidRDefault="00A864E1" w:rsidP="00A864E1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14:paraId="2D0770D9" w14:textId="77777777" w:rsidR="00A864E1" w:rsidRDefault="00A864E1" w:rsidP="00A864E1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  <w:sz w:val="28"/>
          <w:szCs w:val="28"/>
        </w:rPr>
      </w:pPr>
      <w:bookmarkStart w:id="0" w:name="Par31"/>
      <w:bookmarkEnd w:id="0"/>
      <w:r>
        <w:rPr>
          <w:rFonts w:cs="Calibri"/>
          <w:b/>
          <w:bCs/>
          <w:sz w:val="28"/>
          <w:szCs w:val="28"/>
        </w:rPr>
        <w:t>МУНИЦИПАЛЬНАЯ ПРОГРАММА</w:t>
      </w:r>
    </w:p>
    <w:p w14:paraId="11810E99" w14:textId="656A04B2" w:rsidR="00A864E1" w:rsidRDefault="00A864E1" w:rsidP="00A864E1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КИЛЬМЕЗСКОГО РАЙОНА «РАЗВИТИЕ МУНИЦИПАЛЬНОЙ СЛУЖБЫ КИЛЬМЕЗСКОГО РАЙОНА на 2023-202</w:t>
      </w:r>
      <w:r w:rsidR="00880B2A">
        <w:rPr>
          <w:rFonts w:cs="Calibri"/>
          <w:b/>
          <w:bCs/>
          <w:sz w:val="28"/>
          <w:szCs w:val="28"/>
        </w:rPr>
        <w:t>8</w:t>
      </w:r>
      <w:r>
        <w:rPr>
          <w:rFonts w:cs="Calibri"/>
          <w:b/>
          <w:bCs/>
          <w:sz w:val="28"/>
          <w:szCs w:val="28"/>
        </w:rPr>
        <w:t xml:space="preserve"> ГОДЫ»</w:t>
      </w:r>
    </w:p>
    <w:p w14:paraId="1F19CE4A" w14:textId="77777777" w:rsidR="00A864E1" w:rsidRDefault="00A864E1" w:rsidP="00A864E1">
      <w:pPr>
        <w:jc w:val="center"/>
      </w:pPr>
    </w:p>
    <w:p w14:paraId="3C0BA408" w14:textId="77777777" w:rsidR="00A864E1" w:rsidRDefault="00A864E1" w:rsidP="00A864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14:paraId="25A094C2" w14:textId="3C8A5F3F" w:rsidR="00A864E1" w:rsidRDefault="00A864E1" w:rsidP="00A864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Кильмезского района «Развитие муниципальной службы Кильмезского района на 2023 – 202</w:t>
      </w:r>
      <w:r w:rsidR="00880B2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годы»</w:t>
      </w:r>
    </w:p>
    <w:p w14:paraId="1C77A5C1" w14:textId="77777777" w:rsidR="00A864E1" w:rsidRDefault="00A864E1" w:rsidP="00A864E1">
      <w:pPr>
        <w:rPr>
          <w:bCs/>
          <w:sz w:val="28"/>
          <w:szCs w:val="28"/>
        </w:rPr>
      </w:pPr>
    </w:p>
    <w:tbl>
      <w:tblPr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288"/>
      </w:tblGrid>
      <w:tr w:rsidR="00A864E1" w14:paraId="33FDC898" w14:textId="77777777" w:rsidTr="00A864E1">
        <w:trPr>
          <w:trHeight w:val="686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E9755" w14:textId="77777777" w:rsidR="00A864E1" w:rsidRDefault="00A864E1">
            <w:pPr>
              <w:spacing w:line="276" w:lineRule="auto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Ответственный исполнитель муниципальной программы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76E3" w14:textId="77777777" w:rsidR="00A864E1" w:rsidRDefault="00A864E1">
            <w:pPr>
              <w:spacing w:line="276" w:lineRule="auto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Администрация Кильмезского района</w:t>
            </w:r>
          </w:p>
        </w:tc>
      </w:tr>
      <w:tr w:rsidR="00A864E1" w14:paraId="6C54B518" w14:textId="77777777" w:rsidTr="00A864E1">
        <w:trPr>
          <w:trHeight w:val="126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538E0" w14:textId="77777777" w:rsidR="00A864E1" w:rsidRDefault="00A864E1">
            <w:pPr>
              <w:spacing w:line="276" w:lineRule="auto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Соисполнители муниципальной программы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3B20F" w14:textId="77777777" w:rsidR="00A864E1" w:rsidRDefault="00A864E1">
            <w:pPr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Районное финансовое управление, структурные подразделения администрации района,</w:t>
            </w:r>
          </w:p>
          <w:p w14:paraId="7CB2A444" w14:textId="77777777" w:rsidR="00A864E1" w:rsidRDefault="00A864E1">
            <w:pPr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районная Дума, МКУ «Кильмезская МЦБ», МКУ «Единая служба комплексного обслуживания»</w:t>
            </w:r>
          </w:p>
        </w:tc>
      </w:tr>
      <w:tr w:rsidR="00A864E1" w14:paraId="20FF1938" w14:textId="77777777" w:rsidTr="00A864E1">
        <w:trPr>
          <w:trHeight w:val="44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4453F" w14:textId="77777777" w:rsidR="00A864E1" w:rsidRDefault="00A864E1">
            <w:pPr>
              <w:spacing w:line="276" w:lineRule="auto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Наименование подпрограмм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282E" w14:textId="77777777" w:rsidR="00A864E1" w:rsidRDefault="00A864E1">
            <w:pPr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отсутствуют</w:t>
            </w:r>
          </w:p>
        </w:tc>
      </w:tr>
      <w:tr w:rsidR="00A864E1" w14:paraId="612539AE" w14:textId="77777777" w:rsidTr="00A864E1">
        <w:trPr>
          <w:trHeight w:val="70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74F22" w14:textId="77777777" w:rsidR="00A864E1" w:rsidRDefault="00A864E1">
            <w:pPr>
              <w:spacing w:line="276" w:lineRule="auto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Программно- целевые инструменты муниципальной программы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3CABA" w14:textId="77777777" w:rsidR="00A864E1" w:rsidRDefault="00A864E1">
            <w:pPr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отсутствуют</w:t>
            </w:r>
          </w:p>
        </w:tc>
      </w:tr>
      <w:tr w:rsidR="00A864E1" w14:paraId="5F90C89C" w14:textId="77777777" w:rsidTr="00A864E1">
        <w:trPr>
          <w:trHeight w:val="126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2A8A4" w14:textId="77777777" w:rsidR="00A864E1" w:rsidRDefault="00A864E1">
            <w:pPr>
              <w:spacing w:line="276" w:lineRule="auto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Цели муниципальной программы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C9304" w14:textId="77777777" w:rsidR="00A864E1" w:rsidRDefault="00A864E1">
            <w:pPr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Совершенствование и оптимизация системы муниципального управления, повышение эффективности и информационной прозрачности деятельности администрации Кильмезского района</w:t>
            </w:r>
            <w:r>
              <w:rPr>
                <w:kern w:val="2"/>
                <w:lang w:eastAsia="en-US"/>
                <w14:ligatures w14:val="standardContextual"/>
              </w:rPr>
              <w:t xml:space="preserve"> Кировской </w:t>
            </w:r>
            <w:r>
              <w:rPr>
                <w:color w:val="000000"/>
                <w:kern w:val="2"/>
                <w:lang w:eastAsia="en-US"/>
                <w14:ligatures w14:val="standardContextual"/>
              </w:rPr>
              <w:t>области</w:t>
            </w:r>
          </w:p>
        </w:tc>
      </w:tr>
      <w:tr w:rsidR="00A864E1" w14:paraId="51D0562C" w14:textId="77777777" w:rsidTr="00A864E1">
        <w:trPr>
          <w:trHeight w:val="126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DF70" w14:textId="77777777" w:rsidR="00A864E1" w:rsidRDefault="00A864E1">
            <w:pPr>
              <w:spacing w:line="276" w:lineRule="auto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Задачи муниципальной программы</w:t>
            </w:r>
          </w:p>
          <w:p w14:paraId="7BC4B290" w14:textId="77777777" w:rsidR="00A864E1" w:rsidRDefault="00A864E1">
            <w:pPr>
              <w:spacing w:line="276" w:lineRule="auto"/>
              <w:rPr>
                <w:b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32736" w14:textId="77777777" w:rsidR="00A864E1" w:rsidRDefault="00A864E1">
            <w:pPr>
              <w:tabs>
                <w:tab w:val="left" w:pos="432"/>
              </w:tabs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1.Обеспечение деятельности главы Кильмезского района.</w:t>
            </w:r>
          </w:p>
          <w:p w14:paraId="480427D8" w14:textId="77777777" w:rsidR="00A864E1" w:rsidRDefault="00A864E1">
            <w:pPr>
              <w:tabs>
                <w:tab w:val="left" w:pos="432"/>
              </w:tabs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2.Приведение материально-технической базы администрации Кильмезского района Кировской области в соответствие техническим требованиям государственных информационных систем, в том числе требованиям ФСТЭК к защите информации</w:t>
            </w:r>
          </w:p>
          <w:p w14:paraId="62797284" w14:textId="77777777" w:rsidR="00A864E1" w:rsidRDefault="00A864E1">
            <w:pPr>
              <w:tabs>
                <w:tab w:val="left" w:pos="432"/>
              </w:tabs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3.Обеспечение осуществления управленческих функций администрации Кильмезского района.</w:t>
            </w:r>
          </w:p>
          <w:p w14:paraId="682B251E" w14:textId="77777777" w:rsidR="00A864E1" w:rsidRDefault="00A864E1">
            <w:pPr>
              <w:tabs>
                <w:tab w:val="left" w:pos="432"/>
              </w:tabs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4.Совершенствование нормативной базы муниципальной службы в соответствии с федеральным и областным законодательством.</w:t>
            </w:r>
          </w:p>
          <w:p w14:paraId="5A3BD0B4" w14:textId="77777777" w:rsidR="00A864E1" w:rsidRDefault="00A864E1">
            <w:pPr>
              <w:tabs>
                <w:tab w:val="left" w:pos="432"/>
              </w:tabs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5.Обеспечение функционирования МКУ «Кильмезская межотраслевая централизованная бухгалтерия».</w:t>
            </w:r>
          </w:p>
          <w:p w14:paraId="43C27D4E" w14:textId="77777777" w:rsidR="00A864E1" w:rsidRDefault="00A864E1">
            <w:pPr>
              <w:tabs>
                <w:tab w:val="left" w:pos="432"/>
              </w:tabs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6.Совершенствование системы кадрового обеспечения муниципальной службы, правовых и организационных механизмов её функционирования.</w:t>
            </w:r>
          </w:p>
          <w:p w14:paraId="174DF31A" w14:textId="77777777" w:rsidR="00A864E1" w:rsidRDefault="00A864E1">
            <w:pPr>
              <w:tabs>
                <w:tab w:val="left" w:pos="432"/>
              </w:tabs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lastRenderedPageBreak/>
              <w:t>7.Формирование системы профессиональной подготовки муниципальных служащих.</w:t>
            </w:r>
          </w:p>
          <w:p w14:paraId="2473F727" w14:textId="77777777" w:rsidR="00A864E1" w:rsidRDefault="00A864E1">
            <w:pPr>
              <w:tabs>
                <w:tab w:val="left" w:pos="432"/>
              </w:tabs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8. Повышение информационной культуры работников органов местного самоуправления Кильмезского района в сфере информационно – коммуникационных технологий.</w:t>
            </w:r>
          </w:p>
          <w:p w14:paraId="0FDD4A52" w14:textId="77777777" w:rsidR="00A864E1" w:rsidRDefault="00A864E1">
            <w:pPr>
              <w:tabs>
                <w:tab w:val="left" w:pos="432"/>
              </w:tabs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9.Материально-техническое обеспечение проведения выборов и референдумов в Кильмезском районе.</w:t>
            </w:r>
          </w:p>
          <w:p w14:paraId="3778D347" w14:textId="77777777" w:rsidR="00A864E1" w:rsidRDefault="00A864E1">
            <w:pPr>
              <w:tabs>
                <w:tab w:val="left" w:pos="432"/>
              </w:tabs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10.Обеспечение деятельности административной комиссии Кильмезского района по рассмотрению дел об административных правонарушениях.</w:t>
            </w:r>
          </w:p>
          <w:p w14:paraId="314E1A11" w14:textId="77777777" w:rsidR="00A864E1" w:rsidRDefault="00A864E1">
            <w:pPr>
              <w:tabs>
                <w:tab w:val="left" w:pos="432"/>
              </w:tabs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11.Комплектование, обеспечение сохранности, централизованного государственного учёта и использования документов архивного фонда Российской Федерации и других архивных документов, находящихся в муниципальной собственности Кильмезского района и хранящихся в районном муниципальном архиве.</w:t>
            </w:r>
          </w:p>
          <w:p w14:paraId="1C4ADEC3" w14:textId="77777777" w:rsidR="00A864E1" w:rsidRDefault="00A864E1">
            <w:pPr>
              <w:tabs>
                <w:tab w:val="left" w:pos="432"/>
              </w:tabs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12.Организация деятельности МКУ «Единая служба комплексного обеспечения».</w:t>
            </w:r>
          </w:p>
          <w:p w14:paraId="7F50977B" w14:textId="77777777" w:rsidR="00A864E1" w:rsidRDefault="00A864E1">
            <w:pPr>
              <w:tabs>
                <w:tab w:val="left" w:pos="432"/>
              </w:tabs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13. </w:t>
            </w:r>
            <w:bookmarkStart w:id="1" w:name="_Hlk170981080"/>
            <w:r>
              <w:rPr>
                <w:kern w:val="2"/>
                <w:lang w:eastAsia="en-US"/>
                <w14:ligatures w14:val="standardContextual"/>
              </w:rPr>
              <w:t>Выполнение мероприятий по антитеррористической защищенности здания</w:t>
            </w:r>
            <w:bookmarkEnd w:id="1"/>
          </w:p>
        </w:tc>
      </w:tr>
      <w:tr w:rsidR="00A864E1" w14:paraId="389CA874" w14:textId="77777777" w:rsidTr="00A864E1">
        <w:trPr>
          <w:trHeight w:val="416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C601" w14:textId="77777777" w:rsidR="00A864E1" w:rsidRDefault="00A864E1">
            <w:pPr>
              <w:spacing w:line="276" w:lineRule="auto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DD0C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1. Количество нормативных правовых актов администрации Кильмезского района,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</w:t>
            </w:r>
          </w:p>
          <w:p w14:paraId="3E3AD02E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2. Количество обращений граждан в администрацию Кильмезского района, рассмотренных с нарушением сроков,</w:t>
            </w:r>
          </w:p>
          <w:p w14:paraId="71513EBD" w14:textId="77777777" w:rsidR="00A864E1" w:rsidRDefault="00A864E1">
            <w:pPr>
              <w:spacing w:line="276" w:lineRule="auto"/>
              <w:jc w:val="both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установленных законодательством РФ</w:t>
            </w:r>
          </w:p>
          <w:p w14:paraId="54E0C42E" w14:textId="77777777" w:rsidR="00A864E1" w:rsidRDefault="00A864E1">
            <w:pPr>
              <w:spacing w:line="276" w:lineRule="auto"/>
              <w:jc w:val="both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3.Количество предоставляемых государственных и муниципальных услуг в электронной форме</w:t>
            </w:r>
          </w:p>
          <w:p w14:paraId="4DD30BBA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4. Уровень финансирования материально – технического обеспечения в сфере информационно – коммуникативных технологий.</w:t>
            </w:r>
          </w:p>
          <w:p w14:paraId="3475B171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5. Доля муниципальных служащих, повысивших квалификацию и прошедших профессиональную переподготовку, от общего числа лиц, подлежащих направлению на обучение.</w:t>
            </w:r>
          </w:p>
          <w:p w14:paraId="222511D9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 xml:space="preserve">6. Доля муниципальных служащих, имеющих высшее профессиональное образование от </w:t>
            </w:r>
            <w:r>
              <w:rPr>
                <w:color w:val="000000"/>
                <w:kern w:val="2"/>
                <w:lang w:eastAsia="en-US"/>
                <w14:ligatures w14:val="standardContextual"/>
              </w:rPr>
              <w:lastRenderedPageBreak/>
              <w:t>общего числа муниципальных служащих органов местного самоуправления.</w:t>
            </w:r>
          </w:p>
          <w:p w14:paraId="032A647D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7. Материально-техническое обеспечение проведения выборов</w:t>
            </w:r>
          </w:p>
          <w:p w14:paraId="0C5DBACC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и референдумов в Кильмезском муниципальном районе Кировской области.</w:t>
            </w:r>
          </w:p>
          <w:p w14:paraId="02D3DE1C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8. Количество архивных документов в муниципальном архиве, находящихся в нормативных условиях, обеспечивающих их постоянное хранение.</w:t>
            </w:r>
          </w:p>
          <w:p w14:paraId="14FC92E9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9.Уровень финансирования Муниципальной программы</w:t>
            </w:r>
          </w:p>
        </w:tc>
      </w:tr>
      <w:tr w:rsidR="00A864E1" w14:paraId="09388243" w14:textId="77777777" w:rsidTr="00A864E1">
        <w:trPr>
          <w:trHeight w:val="70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7295C" w14:textId="77777777" w:rsidR="00A864E1" w:rsidRDefault="00A864E1">
            <w:pPr>
              <w:spacing w:line="276" w:lineRule="auto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9BD1" w14:textId="4F92B1F2" w:rsidR="00A864E1" w:rsidRDefault="00A864E1">
            <w:pPr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2023-202</w:t>
            </w:r>
            <w:r w:rsidR="00880B2A">
              <w:rPr>
                <w:kern w:val="2"/>
                <w:lang w:eastAsia="en-US"/>
                <w14:ligatures w14:val="standardContextual"/>
              </w:rPr>
              <w:t>8</w:t>
            </w:r>
            <w:r>
              <w:rPr>
                <w:kern w:val="2"/>
                <w:lang w:eastAsia="en-US"/>
                <w14:ligatures w14:val="standardContextual"/>
              </w:rPr>
              <w:t xml:space="preserve"> годы. Выделения этапов реализации программы не предусматривается</w:t>
            </w:r>
          </w:p>
        </w:tc>
      </w:tr>
      <w:tr w:rsidR="00A864E1" w14:paraId="4D8C15B4" w14:textId="77777777" w:rsidTr="00A864E1">
        <w:trPr>
          <w:trHeight w:val="126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9F5F1" w14:textId="77777777" w:rsidR="00A864E1" w:rsidRDefault="00A864E1">
            <w:pPr>
              <w:spacing w:line="276" w:lineRule="auto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Объёмы ассигнований муниципальной программы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D01D5" w14:textId="1BF861FC" w:rsidR="00A864E1" w:rsidRDefault="00A864E1">
            <w:pPr>
              <w:spacing w:line="276" w:lineRule="auto"/>
              <w:jc w:val="both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Общий объём финансирования муниципальной программы в 2023-202</w:t>
            </w:r>
            <w:r w:rsidR="00880B2A">
              <w:rPr>
                <w:color w:val="000000"/>
                <w:kern w:val="2"/>
                <w:lang w:eastAsia="en-US"/>
                <w14:ligatures w14:val="standardContextual"/>
              </w:rPr>
              <w:t>8</w:t>
            </w:r>
            <w:r>
              <w:rPr>
                <w:color w:val="000000"/>
                <w:kern w:val="2"/>
                <w:lang w:eastAsia="en-US"/>
                <w14:ligatures w14:val="standardContextual"/>
              </w:rPr>
              <w:t xml:space="preserve"> годах составит 247294,4 тыс. рублей, в том числе средства районного бюджета </w:t>
            </w:r>
            <w:bookmarkStart w:id="2" w:name="_Hlk170997126"/>
            <w:r>
              <w:rPr>
                <w:color w:val="000000"/>
                <w:kern w:val="2"/>
                <w:lang w:eastAsia="en-US"/>
                <w14:ligatures w14:val="standardContextual"/>
              </w:rPr>
              <w:t xml:space="preserve">151358,2 </w:t>
            </w:r>
            <w:bookmarkEnd w:id="2"/>
            <w:r>
              <w:rPr>
                <w:color w:val="000000"/>
                <w:kern w:val="2"/>
                <w:lang w:eastAsia="en-US"/>
                <w14:ligatures w14:val="standardContextual"/>
              </w:rPr>
              <w:t>тыс. рублей, средства областного бюджета 95936,2 тыс. рублей, средства федерального бюджета 0 тыс. рублей</w:t>
            </w:r>
          </w:p>
        </w:tc>
      </w:tr>
      <w:tr w:rsidR="00A864E1" w14:paraId="0E1645B0" w14:textId="77777777" w:rsidTr="00A864E1">
        <w:trPr>
          <w:trHeight w:val="132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859E" w14:textId="77777777" w:rsidR="00A864E1" w:rsidRDefault="00A864E1">
            <w:pPr>
              <w:spacing w:line="276" w:lineRule="auto"/>
              <w:rPr>
                <w:b/>
                <w:kern w:val="2"/>
                <w:lang w:eastAsia="en-US"/>
                <w14:ligatures w14:val="standardContextual"/>
              </w:rPr>
            </w:pPr>
            <w:r>
              <w:rPr>
                <w:b/>
                <w:kern w:val="2"/>
                <w:lang w:eastAsia="en-US"/>
                <w14:ligatures w14:val="standardContextual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7AF1A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К концу 2027 года ожидается:</w:t>
            </w:r>
          </w:p>
          <w:p w14:paraId="020554D6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отсутствие нормативных правовых актов администрации Кильмезского района,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 (0 единиц);</w:t>
            </w:r>
          </w:p>
          <w:p w14:paraId="219447CC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отсутствие обращений граждан в администрацию Кильмезского района, рассмотренных с нарушением сроков, установленных законодательством (0 единиц);</w:t>
            </w:r>
          </w:p>
          <w:p w14:paraId="50931D79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к</w:t>
            </w:r>
            <w:r>
              <w:rPr>
                <w:color w:val="000000"/>
                <w:kern w:val="2"/>
                <w:lang w:eastAsia="en-US"/>
                <w14:ligatures w14:val="standardContextual"/>
              </w:rPr>
              <w:t>оличество предоставляемых государственных и муниципальных услуг в электронной форме (30 единиц);</w:t>
            </w:r>
          </w:p>
          <w:p w14:paraId="36DE9CED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>доля муниципальных служащих, повысивших квалификацию и прошедших профессиональную переподготовку, от общего числа лиц, подлежащих направлению на обучение 100%;</w:t>
            </w:r>
          </w:p>
          <w:p w14:paraId="1536EE24" w14:textId="77777777" w:rsidR="00A864E1" w:rsidRDefault="00A864E1">
            <w:pPr>
              <w:pStyle w:val="msonospacing0"/>
              <w:spacing w:before="0" w:beforeAutospacing="0" w:after="0" w:afterAutospacing="0"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color w:val="000000"/>
                <w:kern w:val="2"/>
                <w:lang w:eastAsia="en-US"/>
                <w14:ligatures w14:val="standardContextual"/>
              </w:rPr>
              <w:t xml:space="preserve">доля муниципальных служащих, имеющих высшее профессиональное </w:t>
            </w:r>
            <w:r>
              <w:rPr>
                <w:kern w:val="2"/>
                <w:lang w:eastAsia="en-US"/>
                <w14:ligatures w14:val="standardContextual"/>
              </w:rPr>
              <w:t>образование 9</w:t>
            </w:r>
            <w:r>
              <w:rPr>
                <w:color w:val="000000"/>
                <w:kern w:val="2"/>
                <w:lang w:eastAsia="en-US"/>
                <w14:ligatures w14:val="standardContextual"/>
              </w:rPr>
              <w:t>0 % от общего числа муниципальных служащих органов местного самоуправления;</w:t>
            </w:r>
          </w:p>
          <w:p w14:paraId="775A9DD6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 xml:space="preserve">доля материально-технического обеспечения </w:t>
            </w:r>
            <w:r>
              <w:rPr>
                <w:kern w:val="2"/>
                <w:lang w:eastAsia="en-US"/>
                <w14:ligatures w14:val="standardContextual"/>
              </w:rPr>
              <w:lastRenderedPageBreak/>
              <w:t>проведения выборов и референдумов</w:t>
            </w:r>
          </w:p>
          <w:p w14:paraId="6A6614E0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(100-процентное обеспечение);</w:t>
            </w:r>
          </w:p>
          <w:p w14:paraId="693BB235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количество архивных документов в муниципальном архиве, находящихся в нормативных условиях, обеспечивающих их постоянное хранение, составит 100%;</w:t>
            </w:r>
          </w:p>
          <w:p w14:paraId="32309D7B" w14:textId="77777777" w:rsidR="00A864E1" w:rsidRDefault="00A864E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kern w:val="2"/>
                <w:lang w:eastAsia="en-US"/>
                <w14:ligatures w14:val="standardContextual"/>
              </w:rPr>
            </w:pPr>
            <w:r>
              <w:rPr>
                <w:kern w:val="2"/>
                <w:lang w:eastAsia="en-US"/>
                <w14:ligatures w14:val="standardContextual"/>
              </w:rPr>
              <w:t>уровень финансирования Муниципальной программы 100% от запланированных расходов.</w:t>
            </w:r>
          </w:p>
        </w:tc>
      </w:tr>
    </w:tbl>
    <w:p w14:paraId="077C27CA" w14:textId="77777777" w:rsidR="00A864E1" w:rsidRDefault="00A864E1" w:rsidP="00A864E1">
      <w:pPr>
        <w:jc w:val="center"/>
        <w:rPr>
          <w:bCs/>
        </w:rPr>
      </w:pPr>
    </w:p>
    <w:sectPr w:rsidR="00A86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4E1"/>
    <w:rsid w:val="000C576D"/>
    <w:rsid w:val="00384526"/>
    <w:rsid w:val="00880B2A"/>
    <w:rsid w:val="00A864E1"/>
    <w:rsid w:val="00F5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F9BF9"/>
  <w15:chartTrackingRefBased/>
  <w15:docId w15:val="{13976624-7DD5-45E8-AFB9-28D4AC60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4E1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864E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64E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64E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64E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64E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64E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64E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64E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64E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64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864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864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864E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864E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864E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864E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864E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864E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864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86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64E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864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864E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864E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864E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A864E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864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864E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864E1"/>
    <w:rPr>
      <w:b/>
      <w:bCs/>
      <w:smallCaps/>
      <w:color w:val="0F4761" w:themeColor="accent1" w:themeShade="BF"/>
      <w:spacing w:val="5"/>
    </w:rPr>
  </w:style>
  <w:style w:type="character" w:styleId="ac">
    <w:name w:val="Hyperlink"/>
    <w:semiHidden/>
    <w:unhideWhenUsed/>
    <w:rsid w:val="00A864E1"/>
    <w:rPr>
      <w:color w:val="0563C1"/>
      <w:u w:val="single"/>
    </w:rPr>
  </w:style>
  <w:style w:type="paragraph" w:styleId="ad">
    <w:name w:val="Normal (Web)"/>
    <w:basedOn w:val="a"/>
    <w:semiHidden/>
    <w:unhideWhenUsed/>
    <w:rsid w:val="00A864E1"/>
  </w:style>
  <w:style w:type="paragraph" w:customStyle="1" w:styleId="msonospacing0">
    <w:name w:val="msonospacing"/>
    <w:basedOn w:val="a"/>
    <w:rsid w:val="00A864E1"/>
    <w:pPr>
      <w:spacing w:before="100" w:beforeAutospacing="1" w:after="100" w:afterAutospacing="1"/>
    </w:pPr>
  </w:style>
  <w:style w:type="character" w:customStyle="1" w:styleId="fontstyle12">
    <w:name w:val="fontstyle12"/>
    <w:rsid w:val="00A86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5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847</Words>
  <Characters>4831</Characters>
  <Application>Microsoft Office Word</Application>
  <DocSecurity>0</DocSecurity>
  <Lines>40</Lines>
  <Paragraphs>11</Paragraphs>
  <ScaleCrop>false</ScaleCrop>
  <Company>Org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Дрягина</dc:creator>
  <cp:keywords/>
  <dc:description/>
  <cp:lastModifiedBy>User</cp:lastModifiedBy>
  <cp:revision>3</cp:revision>
  <dcterms:created xsi:type="dcterms:W3CDTF">2025-08-15T07:35:00Z</dcterms:created>
  <dcterms:modified xsi:type="dcterms:W3CDTF">2025-09-30T06:40:00Z</dcterms:modified>
</cp:coreProperties>
</file>